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EEE6" w14:textId="22F340C6" w:rsidR="000A36B4" w:rsidRPr="00200039" w:rsidRDefault="000A36B4" w:rsidP="000A36B4">
      <w:pPr>
        <w:rPr>
          <w:rFonts w:ascii="Times New Roman" w:hAnsi="Times New Roman" w:cs="Times New Roman"/>
          <w:sz w:val="24"/>
          <w:szCs w:val="24"/>
        </w:rPr>
      </w:pPr>
      <w:r>
        <w:rPr>
          <w:rFonts w:ascii="Times New Roman" w:hAnsi="Times New Roman" w:cs="Times New Roman"/>
          <w:sz w:val="24"/>
          <w:szCs w:val="24"/>
        </w:rPr>
        <w:t xml:space="preserve">There have been major changes in policy and legislation covering domestic violence over the last 30 years, and the following are currently relevant.  </w:t>
      </w:r>
    </w:p>
    <w:p w14:paraId="7A14A406" w14:textId="77777777" w:rsidR="000A36B4" w:rsidRDefault="003D5E13" w:rsidP="000A36B4">
      <w:hyperlink r:id="rId6" w:history="1">
        <w:r w:rsidR="000A36B4" w:rsidRPr="002D48AE">
          <w:rPr>
            <w:rStyle w:val="Hyperlink"/>
          </w:rPr>
          <w:t>Working Together 2015</w:t>
        </w:r>
      </w:hyperlink>
    </w:p>
    <w:p w14:paraId="04E57C69" w14:textId="77777777" w:rsidR="000A36B4" w:rsidRDefault="003D5E13" w:rsidP="000A36B4">
      <w:hyperlink r:id="rId7" w:history="1">
        <w:r w:rsidR="000A36B4" w:rsidRPr="002D48AE">
          <w:rPr>
            <w:rStyle w:val="Hyperlink"/>
          </w:rPr>
          <w:t>Call to end violence against Women and Girls 2010</w:t>
        </w:r>
      </w:hyperlink>
    </w:p>
    <w:p w14:paraId="72E26FEE" w14:textId="77777777" w:rsidR="000A36B4" w:rsidRDefault="003D5E13" w:rsidP="000A36B4">
      <w:hyperlink r:id="rId8" w:history="1">
        <w:r w:rsidR="000A36B4" w:rsidRPr="002D48AE">
          <w:rPr>
            <w:rStyle w:val="Hyperlink"/>
          </w:rPr>
          <w:t>Wolverhampton’s Violence against Women and Girls Multi-Agency Strategy 2016-19</w:t>
        </w:r>
      </w:hyperlink>
      <w:r w:rsidR="000A36B4">
        <w:t xml:space="preserve"> </w:t>
      </w:r>
    </w:p>
    <w:p w14:paraId="73ECE89B" w14:textId="74551401" w:rsidR="000A36B4" w:rsidRPr="00A70D7E" w:rsidRDefault="00E0368D" w:rsidP="000A36B4">
      <w:pPr>
        <w:rPr>
          <w:rFonts w:ascii="Times New Roman" w:hAnsi="Times New Roman" w:cs="Times New Roman"/>
          <w:color w:val="0000FF"/>
          <w:sz w:val="24"/>
          <w:szCs w:val="24"/>
          <w:u w:val="single"/>
        </w:rPr>
      </w:pPr>
      <w:r w:rsidRPr="00A70D7E">
        <w:rPr>
          <w:rFonts w:ascii="Times New Roman" w:hAnsi="Times New Roman" w:cs="Times New Roman"/>
          <w:color w:val="0000FF"/>
          <w:sz w:val="24"/>
          <w:szCs w:val="24"/>
          <w:u w:val="single"/>
        </w:rPr>
        <w:t>The Care Act 2014</w:t>
      </w:r>
      <w:r w:rsidR="003811CA" w:rsidRPr="00A70D7E">
        <w:rPr>
          <w:rFonts w:ascii="Times New Roman" w:hAnsi="Times New Roman" w:cs="Times New Roman"/>
          <w:color w:val="0000FF"/>
          <w:sz w:val="24"/>
          <w:szCs w:val="24"/>
          <w:u w:val="single"/>
        </w:rPr>
        <w:t xml:space="preserve"> </w:t>
      </w:r>
      <w:hyperlink r:id="rId9" w:history="1">
        <w:r w:rsidR="003811CA" w:rsidRPr="00A70D7E">
          <w:rPr>
            <w:rStyle w:val="Hyperlink"/>
            <w:rFonts w:ascii="Times New Roman" w:hAnsi="Times New Roman" w:cs="Times New Roman"/>
            <w:sz w:val="24"/>
            <w:szCs w:val="24"/>
          </w:rPr>
          <w:t>http://www.legislation.gov.uk/ukpga/2014/23/contents/enacted</w:t>
        </w:r>
      </w:hyperlink>
    </w:p>
    <w:p w14:paraId="5ABFBDE4" w14:textId="11460F31" w:rsidR="000A36B4" w:rsidRPr="00A70D7E" w:rsidRDefault="003811CA" w:rsidP="000A36B4">
      <w:pPr>
        <w:rPr>
          <w:rFonts w:ascii="Times New Roman" w:hAnsi="Times New Roman" w:cs="Times New Roman"/>
          <w:b/>
          <w:sz w:val="24"/>
          <w:szCs w:val="24"/>
          <w:u w:val="single"/>
        </w:rPr>
      </w:pPr>
      <w:r w:rsidRPr="00A70D7E">
        <w:rPr>
          <w:rFonts w:ascii="Times New Roman" w:hAnsi="Times New Roman" w:cs="Times New Roman"/>
          <w:b/>
          <w:sz w:val="24"/>
          <w:szCs w:val="24"/>
          <w:u w:val="single"/>
        </w:rPr>
        <w:t>Criminal Offences</w:t>
      </w:r>
      <w:r w:rsidR="000A36B4" w:rsidRPr="00A70D7E">
        <w:rPr>
          <w:rFonts w:ascii="Times New Roman" w:hAnsi="Times New Roman" w:cs="Times New Roman"/>
          <w:b/>
          <w:sz w:val="24"/>
          <w:szCs w:val="24"/>
        </w:rPr>
        <w:t xml:space="preserve">  </w:t>
      </w:r>
    </w:p>
    <w:p w14:paraId="3FE0D844" w14:textId="746F6890" w:rsidR="00E0368D" w:rsidRDefault="00E0368D" w:rsidP="00E0368D">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There is no criminal offence </w:t>
      </w:r>
      <w:r w:rsidR="00A70D7E">
        <w:rPr>
          <w:rFonts w:ascii="Times New Roman" w:hAnsi="Times New Roman" w:cs="Times New Roman"/>
          <w:sz w:val="24"/>
          <w:szCs w:val="24"/>
          <w:lang w:eastAsia="en-GB"/>
        </w:rPr>
        <w:t>of</w:t>
      </w:r>
      <w:r>
        <w:rPr>
          <w:rFonts w:ascii="Times New Roman" w:hAnsi="Times New Roman" w:cs="Times New Roman"/>
          <w:sz w:val="24"/>
          <w:szCs w:val="24"/>
          <w:lang w:eastAsia="en-GB"/>
        </w:rPr>
        <w:t xml:space="preserve"> ‘domestic violence’ but a variety </w:t>
      </w:r>
      <w:r w:rsidR="003811CA">
        <w:rPr>
          <w:rFonts w:ascii="Times New Roman" w:hAnsi="Times New Roman" w:cs="Times New Roman"/>
          <w:sz w:val="24"/>
          <w:szCs w:val="24"/>
          <w:lang w:eastAsia="en-GB"/>
        </w:rPr>
        <w:t>of existing offences apply to domestic violence and abuse</w:t>
      </w:r>
      <w:r>
        <w:rPr>
          <w:rFonts w:ascii="Times New Roman" w:hAnsi="Times New Roman" w:cs="Times New Roman"/>
          <w:sz w:val="24"/>
          <w:szCs w:val="24"/>
          <w:lang w:eastAsia="en-GB"/>
        </w:rPr>
        <w:t>, including but not limited to the following:</w:t>
      </w:r>
    </w:p>
    <w:p w14:paraId="2FD572A9" w14:textId="77777777" w:rsidR="00E0368D" w:rsidRPr="00026038" w:rsidRDefault="00E0368D" w:rsidP="00E0368D">
      <w:pPr>
        <w:spacing w:after="0"/>
        <w:rPr>
          <w:rFonts w:ascii="Times New Roman" w:hAnsi="Times New Roman" w:cs="Times New Roman"/>
          <w:sz w:val="24"/>
          <w:szCs w:val="24"/>
          <w:u w:val="single"/>
          <w:lang w:eastAsia="en-GB"/>
        </w:rPr>
      </w:pPr>
      <w:r w:rsidRPr="00026038">
        <w:rPr>
          <w:rFonts w:ascii="Times New Roman" w:hAnsi="Times New Roman" w:cs="Times New Roman"/>
          <w:sz w:val="24"/>
          <w:szCs w:val="24"/>
          <w:u w:val="single"/>
          <w:lang w:eastAsia="en-GB"/>
        </w:rPr>
        <w:t>Offence</w:t>
      </w:r>
      <w:r w:rsidRPr="00026038">
        <w:rPr>
          <w:rFonts w:ascii="Times New Roman" w:hAnsi="Times New Roman" w:cs="Times New Roman"/>
          <w:sz w:val="24"/>
          <w:szCs w:val="24"/>
          <w:lang w:eastAsia="en-GB"/>
        </w:rPr>
        <w:tab/>
      </w:r>
      <w:r w:rsidRPr="00026038">
        <w:rPr>
          <w:rFonts w:ascii="Times New Roman" w:hAnsi="Times New Roman" w:cs="Times New Roman"/>
          <w:sz w:val="24"/>
          <w:szCs w:val="24"/>
          <w:lang w:eastAsia="en-GB"/>
        </w:rPr>
        <w:tab/>
      </w:r>
      <w:r w:rsidRPr="00026038">
        <w:rPr>
          <w:rFonts w:ascii="Times New Roman" w:hAnsi="Times New Roman" w:cs="Times New Roman"/>
          <w:sz w:val="24"/>
          <w:szCs w:val="24"/>
          <w:lang w:eastAsia="en-GB"/>
        </w:rPr>
        <w:tab/>
      </w:r>
      <w:r w:rsidRPr="00026038">
        <w:rPr>
          <w:rFonts w:ascii="Times New Roman" w:hAnsi="Times New Roman" w:cs="Times New Roman"/>
          <w:sz w:val="24"/>
          <w:szCs w:val="24"/>
          <w:lang w:eastAsia="en-GB"/>
        </w:rPr>
        <w:tab/>
      </w:r>
      <w:r w:rsidRPr="00026038">
        <w:rPr>
          <w:rFonts w:ascii="Times New Roman" w:hAnsi="Times New Roman" w:cs="Times New Roman"/>
          <w:sz w:val="24"/>
          <w:szCs w:val="24"/>
          <w:lang w:eastAsia="en-GB"/>
        </w:rPr>
        <w:tab/>
      </w:r>
      <w:r w:rsidRPr="00026038">
        <w:rPr>
          <w:rFonts w:ascii="Times New Roman" w:hAnsi="Times New Roman" w:cs="Times New Roman"/>
          <w:sz w:val="24"/>
          <w:szCs w:val="24"/>
          <w:u w:val="single"/>
          <w:lang w:eastAsia="en-GB"/>
        </w:rPr>
        <w:t>Act</w:t>
      </w:r>
    </w:p>
    <w:p w14:paraId="2A9C7B96" w14:textId="06CEBF59"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Murder</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sidR="0096741F">
        <w:rPr>
          <w:rFonts w:ascii="Times New Roman" w:hAnsi="Times New Roman" w:cs="Times New Roman"/>
          <w:sz w:val="24"/>
          <w:szCs w:val="24"/>
          <w:lang w:eastAsia="en-GB"/>
        </w:rPr>
        <w:tab/>
      </w:r>
      <w:r>
        <w:rPr>
          <w:rFonts w:ascii="Times New Roman" w:hAnsi="Times New Roman" w:cs="Times New Roman"/>
          <w:sz w:val="24"/>
          <w:szCs w:val="24"/>
          <w:lang w:eastAsia="en-GB"/>
        </w:rPr>
        <w:t>Common Law</w:t>
      </w:r>
    </w:p>
    <w:p w14:paraId="503DFA30"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Manslaughter</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Common Law</w:t>
      </w:r>
    </w:p>
    <w:p w14:paraId="74B3F553"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Kidnap &amp; false imprisonment</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Common Law</w:t>
      </w:r>
    </w:p>
    <w:p w14:paraId="36D774F4"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Common Assault</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Criminal Justice Act, 1988</w:t>
      </w:r>
    </w:p>
    <w:p w14:paraId="02AE7B9A"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Threats to Kill</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Offences Against the Person Act, 1861</w:t>
      </w:r>
    </w:p>
    <w:p w14:paraId="7AC876F1"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Grievous Bodily Harm with Intent</w:t>
      </w:r>
      <w:r>
        <w:rPr>
          <w:rFonts w:ascii="Times New Roman" w:hAnsi="Times New Roman" w:cs="Times New Roman"/>
          <w:sz w:val="24"/>
          <w:szCs w:val="24"/>
          <w:lang w:eastAsia="en-GB"/>
        </w:rPr>
        <w:tab/>
      </w:r>
      <w:r>
        <w:rPr>
          <w:rFonts w:ascii="Times New Roman" w:hAnsi="Times New Roman" w:cs="Times New Roman"/>
          <w:sz w:val="24"/>
          <w:szCs w:val="24"/>
          <w:lang w:eastAsia="en-GB"/>
        </w:rPr>
        <w:tab/>
        <w:t>Offences Against the Person Act, 1861</w:t>
      </w:r>
    </w:p>
    <w:p w14:paraId="7787FE00"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Grievous Bodily Harm wounding</w:t>
      </w:r>
      <w:r>
        <w:rPr>
          <w:rFonts w:ascii="Times New Roman" w:hAnsi="Times New Roman" w:cs="Times New Roman"/>
          <w:sz w:val="24"/>
          <w:szCs w:val="24"/>
          <w:lang w:eastAsia="en-GB"/>
        </w:rPr>
        <w:tab/>
      </w:r>
      <w:r>
        <w:rPr>
          <w:rFonts w:ascii="Times New Roman" w:hAnsi="Times New Roman" w:cs="Times New Roman"/>
          <w:sz w:val="24"/>
          <w:szCs w:val="24"/>
          <w:lang w:eastAsia="en-GB"/>
        </w:rPr>
        <w:tab/>
        <w:t>Offences Against the Person Act, 1861</w:t>
      </w:r>
    </w:p>
    <w:p w14:paraId="37283FE9"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Aggravated Bodily Harm</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Offences Against the Person Act, 1861</w:t>
      </w:r>
    </w:p>
    <w:p w14:paraId="1E289581"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Harassment</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Protection from Harassment Act, 1997</w:t>
      </w:r>
    </w:p>
    <w:p w14:paraId="15FC30C3"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Affray</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Public Order Act, 1986</w:t>
      </w:r>
    </w:p>
    <w:p w14:paraId="06E7537A"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Threatening Behaviour</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Public Order Act, 1986</w:t>
      </w:r>
    </w:p>
    <w:p w14:paraId="737A305B"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Threatening Behaviour with Intent</w:t>
      </w:r>
      <w:r>
        <w:rPr>
          <w:rFonts w:ascii="Times New Roman" w:hAnsi="Times New Roman" w:cs="Times New Roman"/>
          <w:sz w:val="24"/>
          <w:szCs w:val="24"/>
          <w:lang w:eastAsia="en-GB"/>
        </w:rPr>
        <w:tab/>
      </w:r>
      <w:r>
        <w:rPr>
          <w:rFonts w:ascii="Times New Roman" w:hAnsi="Times New Roman" w:cs="Times New Roman"/>
          <w:sz w:val="24"/>
          <w:szCs w:val="24"/>
          <w:lang w:eastAsia="en-GB"/>
        </w:rPr>
        <w:tab/>
        <w:t>Public Order Act, 1986</w:t>
      </w:r>
    </w:p>
    <w:p w14:paraId="319E0660"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Rape</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Sexual Offences Act, 1956</w:t>
      </w:r>
    </w:p>
    <w:p w14:paraId="16675955"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Assault by Penetration</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Sexual Offences Act, 1956</w:t>
      </w:r>
    </w:p>
    <w:p w14:paraId="15DADE29"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Sexual Assault</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Sexual Offences Act, 1956</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 xml:space="preserve">             </w:t>
      </w:r>
    </w:p>
    <w:p w14:paraId="08897AED"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Breach of Bail</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proofErr w:type="spellStart"/>
      <w:r>
        <w:rPr>
          <w:rFonts w:ascii="Times New Roman" w:hAnsi="Times New Roman" w:cs="Times New Roman"/>
          <w:sz w:val="24"/>
          <w:szCs w:val="24"/>
          <w:lang w:eastAsia="en-GB"/>
        </w:rPr>
        <w:t>Bail</w:t>
      </w:r>
      <w:proofErr w:type="spellEnd"/>
      <w:r>
        <w:rPr>
          <w:rFonts w:ascii="Times New Roman" w:hAnsi="Times New Roman" w:cs="Times New Roman"/>
          <w:sz w:val="24"/>
          <w:szCs w:val="24"/>
          <w:lang w:eastAsia="en-GB"/>
        </w:rPr>
        <w:t xml:space="preserve"> Act, 1976</w:t>
      </w:r>
    </w:p>
    <w:p w14:paraId="1D3D9A23"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Criminal Damage</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Criminal Damage Act, 1971</w:t>
      </w:r>
    </w:p>
    <w:p w14:paraId="5F4EE17E"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Theft</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proofErr w:type="spellStart"/>
      <w:r>
        <w:rPr>
          <w:rFonts w:ascii="Times New Roman" w:hAnsi="Times New Roman" w:cs="Times New Roman"/>
          <w:sz w:val="24"/>
          <w:szCs w:val="24"/>
          <w:lang w:eastAsia="en-GB"/>
        </w:rPr>
        <w:t>Theft</w:t>
      </w:r>
      <w:proofErr w:type="spellEnd"/>
      <w:r>
        <w:rPr>
          <w:rFonts w:ascii="Times New Roman" w:hAnsi="Times New Roman" w:cs="Times New Roman"/>
          <w:sz w:val="24"/>
          <w:szCs w:val="24"/>
          <w:lang w:eastAsia="en-GB"/>
        </w:rPr>
        <w:t xml:space="preserve"> Act, 1968</w:t>
      </w:r>
    </w:p>
    <w:p w14:paraId="702D8220"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Blackmail</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Theft Act, 1968</w:t>
      </w:r>
    </w:p>
    <w:p w14:paraId="1CE60049"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Witness Intimidation</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Criminal Justice &amp; Public Order Act, 1994</w:t>
      </w:r>
    </w:p>
    <w:p w14:paraId="3EA5B155"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Criminal Trespass</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Criminal Law Act, 1971</w:t>
      </w:r>
    </w:p>
    <w:p w14:paraId="7590E849"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Child Cruelty</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Children &amp; Young Persons Act, 1933</w:t>
      </w:r>
    </w:p>
    <w:p w14:paraId="532C33A0" w14:textId="77777777" w:rsidR="00E0368D" w:rsidRDefault="00E0368D" w:rsidP="00E0368D">
      <w:pPr>
        <w:spacing w:after="0"/>
        <w:rPr>
          <w:rFonts w:ascii="Times New Roman" w:hAnsi="Times New Roman" w:cs="Times New Roman"/>
          <w:sz w:val="24"/>
          <w:szCs w:val="24"/>
          <w:lang w:eastAsia="en-GB"/>
        </w:rPr>
      </w:pPr>
      <w:r>
        <w:rPr>
          <w:rFonts w:ascii="Times New Roman" w:hAnsi="Times New Roman" w:cs="Times New Roman"/>
          <w:sz w:val="24"/>
          <w:szCs w:val="24"/>
          <w:lang w:eastAsia="en-GB"/>
        </w:rPr>
        <w:t>Child abduction</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Child Abduction Act, 1984</w:t>
      </w:r>
    </w:p>
    <w:p w14:paraId="61C56BBF" w14:textId="77777777" w:rsidR="00E0368D" w:rsidRDefault="00E0368D" w:rsidP="00E0368D">
      <w:pPr>
        <w:spacing w:after="0"/>
        <w:ind w:left="4320" w:hanging="4320"/>
        <w:rPr>
          <w:rFonts w:ascii="Times New Roman" w:hAnsi="Times New Roman" w:cs="Times New Roman"/>
          <w:sz w:val="24"/>
          <w:szCs w:val="24"/>
          <w:lang w:eastAsia="en-GB"/>
        </w:rPr>
      </w:pPr>
      <w:r>
        <w:rPr>
          <w:rFonts w:ascii="Times New Roman" w:hAnsi="Times New Roman" w:cs="Times New Roman"/>
          <w:sz w:val="24"/>
          <w:szCs w:val="24"/>
          <w:lang w:eastAsia="en-GB"/>
        </w:rPr>
        <w:t>Female genital mutilation</w:t>
      </w:r>
      <w:r>
        <w:rPr>
          <w:rFonts w:ascii="Times New Roman" w:hAnsi="Times New Roman" w:cs="Times New Roman"/>
          <w:sz w:val="24"/>
          <w:szCs w:val="24"/>
          <w:lang w:eastAsia="en-GB"/>
        </w:rPr>
        <w:tab/>
        <w:t>Female Genital Mutilation Act, 2003; Serious Crime Act, 2015</w:t>
      </w:r>
    </w:p>
    <w:p w14:paraId="6DC36A6E" w14:textId="77777777" w:rsidR="00E0368D" w:rsidRDefault="00E0368D" w:rsidP="00E0368D">
      <w:pPr>
        <w:spacing w:after="0"/>
        <w:ind w:left="4320" w:hanging="43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Trafficking for Sexual Exploitation </w:t>
      </w:r>
      <w:r>
        <w:rPr>
          <w:rFonts w:ascii="Times New Roman" w:hAnsi="Times New Roman" w:cs="Times New Roman"/>
          <w:sz w:val="24"/>
          <w:szCs w:val="24"/>
          <w:lang w:eastAsia="en-GB"/>
        </w:rPr>
        <w:tab/>
        <w:t>Sexual Offences Act, 2003; Serious Organised Crime &amp; Police Act, 2005</w:t>
      </w:r>
    </w:p>
    <w:p w14:paraId="7CD6FB50" w14:textId="77777777" w:rsidR="00E0368D" w:rsidRDefault="00E0368D" w:rsidP="00E0368D">
      <w:pPr>
        <w:spacing w:after="0"/>
        <w:ind w:left="4320" w:hanging="4320"/>
        <w:rPr>
          <w:rFonts w:ascii="Times New Roman" w:hAnsi="Times New Roman" w:cs="Times New Roman"/>
          <w:sz w:val="24"/>
          <w:szCs w:val="24"/>
          <w:lang w:eastAsia="en-GB"/>
        </w:rPr>
      </w:pPr>
      <w:r>
        <w:rPr>
          <w:rFonts w:ascii="Times New Roman" w:hAnsi="Times New Roman" w:cs="Times New Roman"/>
          <w:sz w:val="24"/>
          <w:szCs w:val="24"/>
          <w:lang w:eastAsia="en-GB"/>
        </w:rPr>
        <w:t>Trafficking for Exploitation</w:t>
      </w:r>
      <w:r>
        <w:rPr>
          <w:rFonts w:ascii="Times New Roman" w:hAnsi="Times New Roman" w:cs="Times New Roman"/>
          <w:sz w:val="24"/>
          <w:szCs w:val="24"/>
          <w:lang w:eastAsia="en-GB"/>
        </w:rPr>
        <w:tab/>
        <w:t>Asylum &amp; Immigration Act, 2004; Serious Organised Crime &amp; Police Act, 2005</w:t>
      </w:r>
    </w:p>
    <w:p w14:paraId="19FC2F5E" w14:textId="59064703" w:rsidR="00E0368D" w:rsidRDefault="00E0368D" w:rsidP="00E0368D">
      <w:pPr>
        <w:rPr>
          <w:rFonts w:ascii="Times New Roman" w:hAnsi="Times New Roman" w:cs="Times New Roman"/>
          <w:sz w:val="24"/>
          <w:szCs w:val="24"/>
          <w:lang w:eastAsia="en-GB"/>
        </w:rPr>
      </w:pPr>
    </w:p>
    <w:p w14:paraId="60DF166E" w14:textId="77777777" w:rsidR="00A70D7E" w:rsidRDefault="00A70D7E" w:rsidP="00E0368D">
      <w:pPr>
        <w:rPr>
          <w:rFonts w:ascii="Times New Roman" w:hAnsi="Times New Roman" w:cs="Times New Roman"/>
          <w:sz w:val="24"/>
          <w:szCs w:val="24"/>
          <w:lang w:eastAsia="en-GB"/>
        </w:rPr>
      </w:pPr>
    </w:p>
    <w:p w14:paraId="16805FBF" w14:textId="593928BF" w:rsidR="00E0368D" w:rsidRPr="00A70D7E" w:rsidRDefault="00E0368D" w:rsidP="00E0368D">
      <w:pPr>
        <w:rPr>
          <w:rFonts w:ascii="Times New Roman" w:hAnsi="Times New Roman" w:cs="Times New Roman"/>
          <w:b/>
          <w:sz w:val="24"/>
          <w:szCs w:val="24"/>
          <w:u w:val="single"/>
          <w:lang w:eastAsia="en-GB"/>
        </w:rPr>
      </w:pPr>
      <w:r w:rsidRPr="00A70D7E">
        <w:rPr>
          <w:rFonts w:ascii="Times New Roman" w:hAnsi="Times New Roman" w:cs="Times New Roman"/>
          <w:b/>
          <w:sz w:val="24"/>
          <w:szCs w:val="24"/>
          <w:u w:val="single"/>
          <w:lang w:eastAsia="en-GB"/>
        </w:rPr>
        <w:lastRenderedPageBreak/>
        <w:t>‘Recent’ updated legislation</w:t>
      </w:r>
    </w:p>
    <w:p w14:paraId="081179D3" w14:textId="39FC2AA1" w:rsidR="00E0368D" w:rsidRDefault="00E0368D" w:rsidP="00E0368D">
      <w:pPr>
        <w:rPr>
          <w:rFonts w:ascii="Times New Roman" w:hAnsi="Times New Roman" w:cs="Times New Roman"/>
          <w:sz w:val="24"/>
          <w:szCs w:val="24"/>
        </w:rPr>
      </w:pPr>
      <w:r>
        <w:rPr>
          <w:rFonts w:ascii="Times New Roman" w:hAnsi="Times New Roman" w:cs="Times New Roman"/>
          <w:sz w:val="24"/>
          <w:szCs w:val="24"/>
          <w:lang w:eastAsia="en-GB"/>
        </w:rPr>
        <w:t xml:space="preserve">The </w:t>
      </w:r>
      <w:r w:rsidRPr="00552454">
        <w:rPr>
          <w:rFonts w:ascii="Times New Roman" w:hAnsi="Times New Roman" w:cs="Times New Roman"/>
          <w:b/>
          <w:sz w:val="24"/>
          <w:szCs w:val="24"/>
          <w:lang w:eastAsia="en-GB"/>
        </w:rPr>
        <w:t>DV, Crime &amp; Victim Act, 2004</w:t>
      </w:r>
      <w:r>
        <w:rPr>
          <w:rFonts w:ascii="Times New Roman" w:hAnsi="Times New Roman" w:cs="Times New Roman"/>
          <w:sz w:val="24"/>
          <w:szCs w:val="24"/>
          <w:lang w:eastAsia="en-GB"/>
        </w:rPr>
        <w:t xml:space="preserve"> represents the biggest legislative response to DV in 30 years, criminalising breaches of non-molestation civil orders, extending </w:t>
      </w:r>
      <w:r>
        <w:rPr>
          <w:rFonts w:ascii="Times New Roman" w:hAnsi="Times New Roman" w:cs="Times New Roman"/>
          <w:sz w:val="24"/>
          <w:szCs w:val="24"/>
        </w:rPr>
        <w:t xml:space="preserve">the definition to include same sex couples, allowing restraining orders to be made on acquittal or conviction, and a statutory requirement to conduct domestic homicide reviews when there is a domestic violence related death.   </w:t>
      </w:r>
    </w:p>
    <w:p w14:paraId="217B59F0" w14:textId="77777777" w:rsidR="00E0368D" w:rsidRPr="00636E79" w:rsidRDefault="00E0368D" w:rsidP="00E0368D">
      <w:pPr>
        <w:pStyle w:val="Default"/>
        <w:rPr>
          <w:rFonts w:ascii="Times New Roman" w:hAnsi="Times New Roman" w:cs="Times New Roman"/>
          <w:lang w:eastAsia="en-GB"/>
        </w:rPr>
      </w:pPr>
      <w:r w:rsidRPr="00636E79">
        <w:rPr>
          <w:rFonts w:ascii="Times New Roman" w:hAnsi="Times New Roman" w:cs="Times New Roman"/>
          <w:b/>
          <w:bCs/>
          <w:lang w:eastAsia="en-GB"/>
        </w:rPr>
        <w:t>Controlling or Coercive Behaviour</w:t>
      </w:r>
      <w:r w:rsidRPr="00636E79">
        <w:rPr>
          <w:rFonts w:ascii="Times New Roman" w:hAnsi="Times New Roman" w:cs="Times New Roman"/>
          <w:bCs/>
          <w:lang w:eastAsia="en-GB"/>
        </w:rPr>
        <w:t xml:space="preserve"> became a new offence in </w:t>
      </w:r>
      <w:r w:rsidRPr="00636E79">
        <w:rPr>
          <w:rFonts w:ascii="Times New Roman" w:hAnsi="Times New Roman" w:cs="Times New Roman"/>
          <w:lang w:eastAsia="en-GB"/>
        </w:rPr>
        <w:t>ongoing relationships between intimate partners or family members</w:t>
      </w:r>
      <w:r w:rsidRPr="00636E79">
        <w:rPr>
          <w:rFonts w:ascii="Times New Roman" w:hAnsi="Times New Roman" w:cs="Times New Roman"/>
          <w:bCs/>
          <w:lang w:eastAsia="en-GB"/>
        </w:rPr>
        <w:t xml:space="preserve"> under </w:t>
      </w:r>
      <w:r w:rsidRPr="00636E79">
        <w:rPr>
          <w:rFonts w:ascii="Times New Roman" w:hAnsi="Times New Roman" w:cs="Times New Roman"/>
          <w:lang w:eastAsia="en-GB"/>
        </w:rPr>
        <w:t xml:space="preserve">The Serious Crime Act 2015. The offence carries a maximum sentence of 5 years’ imprisonment, a fine, or both.  The victim and alleged perpetrator must be “personally connected” at the time of the behaviour, the perpetrator’s actions </w:t>
      </w:r>
      <w:proofErr w:type="gramStart"/>
      <w:r w:rsidRPr="00636E79">
        <w:rPr>
          <w:rFonts w:ascii="Times New Roman" w:hAnsi="Times New Roman" w:cs="Times New Roman"/>
          <w:lang w:eastAsia="en-GB"/>
        </w:rPr>
        <w:t>have to</w:t>
      </w:r>
      <w:proofErr w:type="gramEnd"/>
      <w:r w:rsidRPr="00636E79">
        <w:rPr>
          <w:rFonts w:ascii="Times New Roman" w:hAnsi="Times New Roman" w:cs="Times New Roman"/>
          <w:lang w:eastAsia="en-GB"/>
        </w:rPr>
        <w:t xml:space="preserve"> be “repeated” or “continuous” and have a “serious effect” on the victim, meaning that it has caused the victim to fear violence will be used against them on “at least two occasions”, or it has had a “substantial adverse effect on the victims’ day to day activities”. The alleged perpetrator must have known that their behaviour would have a serious effect on the victim, or the behaviour must have been such that he or she “ought to have known” it would have that effect.  The legislation is clear that controlling or coercive behaviour should be dealt with as part of adult and/or child safeguarding and public protection procedures. </w:t>
      </w:r>
    </w:p>
    <w:p w14:paraId="14360E34" w14:textId="77777777" w:rsidR="00E0368D" w:rsidRPr="00636E79" w:rsidRDefault="00E0368D" w:rsidP="00E0368D">
      <w:pPr>
        <w:pStyle w:val="Default"/>
        <w:rPr>
          <w:rFonts w:ascii="Times New Roman" w:hAnsi="Times New Roman" w:cs="Times New Roman"/>
          <w:lang w:eastAsia="en-GB"/>
        </w:rPr>
      </w:pPr>
    </w:p>
    <w:p w14:paraId="78CB9556" w14:textId="77777777" w:rsidR="00E0368D" w:rsidRDefault="00E0368D" w:rsidP="00E0368D">
      <w:pPr>
        <w:rPr>
          <w:rFonts w:ascii="Times New Roman" w:hAnsi="Times New Roman" w:cs="Times New Roman"/>
          <w:sz w:val="24"/>
          <w:szCs w:val="24"/>
          <w:lang w:eastAsia="en-GB"/>
        </w:rPr>
      </w:pPr>
      <w:r w:rsidRPr="00636E79">
        <w:rPr>
          <w:rFonts w:ascii="Times New Roman" w:hAnsi="Times New Roman" w:cs="Times New Roman"/>
          <w:b/>
          <w:sz w:val="24"/>
          <w:szCs w:val="24"/>
          <w:lang w:eastAsia="en-GB"/>
        </w:rPr>
        <w:t>The Serious Crime Act, 2015</w:t>
      </w:r>
      <w:r w:rsidRPr="00636E79">
        <w:rPr>
          <w:rFonts w:ascii="Times New Roman" w:hAnsi="Times New Roman" w:cs="Times New Roman"/>
          <w:sz w:val="24"/>
          <w:szCs w:val="24"/>
          <w:lang w:eastAsia="en-GB"/>
        </w:rPr>
        <w:t xml:space="preserve"> includes various updates including re-stating children as victims of sexual violence not consenting participants, extending FGM legislation to habitual UK residents, new offence of failing to protect a girl from FGM, providing lifelong anonymity for victims of FGM, introducing FGM Protection Orders, and the mandatory duty for regulated professionals to report FGM on children, as well as the introduction of a new offence of controlling behaviour and coercive control.</w:t>
      </w:r>
    </w:p>
    <w:p w14:paraId="08E4AA99" w14:textId="06852AEF" w:rsidR="000A36B4" w:rsidRPr="00A70D7E" w:rsidRDefault="000A36B4" w:rsidP="000A36B4">
      <w:pPr>
        <w:rPr>
          <w:rFonts w:ascii="Times New Roman" w:hAnsi="Times New Roman" w:cs="Times New Roman"/>
          <w:b/>
          <w:sz w:val="24"/>
          <w:szCs w:val="24"/>
          <w:u w:val="single"/>
        </w:rPr>
      </w:pPr>
      <w:r w:rsidRPr="00A70D7E">
        <w:rPr>
          <w:rFonts w:ascii="Times New Roman" w:hAnsi="Times New Roman" w:cs="Times New Roman"/>
          <w:b/>
          <w:sz w:val="24"/>
          <w:szCs w:val="24"/>
          <w:u w:val="single"/>
        </w:rPr>
        <w:t>Civil Law remedies</w:t>
      </w:r>
    </w:p>
    <w:p w14:paraId="3DCCD151" w14:textId="579E515B" w:rsidR="003811CA" w:rsidRPr="003811CA" w:rsidRDefault="003811CA" w:rsidP="000A36B4">
      <w:pPr>
        <w:rPr>
          <w:rFonts w:ascii="Times New Roman" w:hAnsi="Times New Roman" w:cs="Times New Roman"/>
          <w:sz w:val="24"/>
          <w:szCs w:val="24"/>
        </w:rPr>
      </w:pPr>
      <w:r w:rsidRPr="003811CA">
        <w:rPr>
          <w:rFonts w:ascii="Times New Roman" w:hAnsi="Times New Roman" w:cs="Times New Roman"/>
          <w:sz w:val="24"/>
          <w:szCs w:val="24"/>
        </w:rPr>
        <w:t xml:space="preserve">There are </w:t>
      </w:r>
      <w:proofErr w:type="gramStart"/>
      <w:r w:rsidRPr="003811CA">
        <w:rPr>
          <w:rFonts w:ascii="Times New Roman" w:hAnsi="Times New Roman" w:cs="Times New Roman"/>
          <w:sz w:val="24"/>
          <w:szCs w:val="24"/>
        </w:rPr>
        <w:t>a number of</w:t>
      </w:r>
      <w:proofErr w:type="gramEnd"/>
      <w:r w:rsidRPr="003811CA">
        <w:rPr>
          <w:rFonts w:ascii="Times New Roman" w:hAnsi="Times New Roman" w:cs="Times New Roman"/>
          <w:sz w:val="24"/>
          <w:szCs w:val="24"/>
        </w:rPr>
        <w:t xml:space="preserve"> relevant civil law remedies</w:t>
      </w:r>
      <w:r>
        <w:rPr>
          <w:rFonts w:ascii="Times New Roman" w:hAnsi="Times New Roman" w:cs="Times New Roman"/>
          <w:sz w:val="24"/>
          <w:szCs w:val="24"/>
        </w:rPr>
        <w:t xml:space="preserve"> that support the protection of victims of domestic violence and their children, including:</w:t>
      </w:r>
    </w:p>
    <w:p w14:paraId="47717018" w14:textId="288DEA64" w:rsidR="000A36B4" w:rsidRDefault="000A36B4" w:rsidP="000A36B4">
      <w:pPr>
        <w:rPr>
          <w:rFonts w:ascii="Times New Roman" w:hAnsi="Times New Roman" w:cs="Times New Roman"/>
          <w:sz w:val="24"/>
          <w:szCs w:val="24"/>
        </w:rPr>
      </w:pPr>
      <w:r>
        <w:rPr>
          <w:rFonts w:ascii="Times New Roman" w:hAnsi="Times New Roman" w:cs="Times New Roman"/>
          <w:sz w:val="24"/>
          <w:szCs w:val="24"/>
        </w:rPr>
        <w:t>Family Law Act, 1996 – covering occupation orders, and non-molestation or</w:t>
      </w:r>
      <w:r w:rsidR="005C198E">
        <w:rPr>
          <w:rFonts w:ascii="Times New Roman" w:hAnsi="Times New Roman" w:cs="Times New Roman"/>
          <w:sz w:val="24"/>
          <w:szCs w:val="24"/>
        </w:rPr>
        <w:t xml:space="preserve">ders to prevent </w:t>
      </w:r>
      <w:r>
        <w:rPr>
          <w:rFonts w:ascii="Times New Roman" w:hAnsi="Times New Roman" w:cs="Times New Roman"/>
          <w:sz w:val="24"/>
          <w:szCs w:val="24"/>
        </w:rPr>
        <w:t>violent, pestering, threatening behaviour, and harassment.</w:t>
      </w:r>
    </w:p>
    <w:p w14:paraId="65E6319E" w14:textId="77777777" w:rsidR="000A36B4" w:rsidRDefault="000A36B4" w:rsidP="000A36B4">
      <w:pPr>
        <w:rPr>
          <w:rFonts w:ascii="Times New Roman" w:hAnsi="Times New Roman" w:cs="Times New Roman"/>
          <w:sz w:val="24"/>
          <w:szCs w:val="24"/>
        </w:rPr>
      </w:pPr>
      <w:r>
        <w:rPr>
          <w:rFonts w:ascii="Times New Roman" w:hAnsi="Times New Roman" w:cs="Times New Roman"/>
          <w:sz w:val="24"/>
          <w:szCs w:val="24"/>
        </w:rPr>
        <w:t>Civil Partnership Act, 2004 – applies the above remedies to civil partners.</w:t>
      </w:r>
    </w:p>
    <w:p w14:paraId="4B0A5FA0" w14:textId="77777777" w:rsidR="000A36B4" w:rsidRDefault="000A36B4" w:rsidP="000A36B4">
      <w:pPr>
        <w:rPr>
          <w:rFonts w:ascii="Times New Roman" w:hAnsi="Times New Roman" w:cs="Times New Roman"/>
          <w:sz w:val="24"/>
          <w:szCs w:val="24"/>
        </w:rPr>
      </w:pPr>
      <w:r>
        <w:rPr>
          <w:rFonts w:ascii="Times New Roman" w:hAnsi="Times New Roman" w:cs="Times New Roman"/>
          <w:sz w:val="24"/>
          <w:szCs w:val="24"/>
        </w:rPr>
        <w:t>The Protection from Harassment Act, 1997 – extends civil law remedies available under the Family Law Act to cover post-separation pestering and harassment.</w:t>
      </w:r>
    </w:p>
    <w:p w14:paraId="6803662C" w14:textId="77777777" w:rsidR="000A36B4" w:rsidRDefault="000A36B4" w:rsidP="000A36B4">
      <w:pPr>
        <w:rPr>
          <w:rFonts w:ascii="Times New Roman" w:hAnsi="Times New Roman" w:cs="Times New Roman"/>
          <w:sz w:val="24"/>
          <w:szCs w:val="24"/>
        </w:rPr>
      </w:pPr>
      <w:r>
        <w:rPr>
          <w:rFonts w:ascii="Times New Roman" w:hAnsi="Times New Roman" w:cs="Times New Roman"/>
          <w:sz w:val="24"/>
          <w:szCs w:val="24"/>
        </w:rPr>
        <w:t>The Homelessness Act, 2002 - covers all type of violence.</w:t>
      </w:r>
    </w:p>
    <w:p w14:paraId="65739926" w14:textId="77777777" w:rsidR="000A36B4" w:rsidRDefault="000A36B4" w:rsidP="000A36B4">
      <w:pPr>
        <w:rPr>
          <w:rFonts w:ascii="Times New Roman" w:hAnsi="Times New Roman" w:cs="Times New Roman"/>
          <w:sz w:val="24"/>
          <w:szCs w:val="24"/>
        </w:rPr>
      </w:pPr>
      <w:r>
        <w:rPr>
          <w:rFonts w:ascii="Times New Roman" w:hAnsi="Times New Roman" w:cs="Times New Roman"/>
          <w:sz w:val="24"/>
          <w:szCs w:val="24"/>
        </w:rPr>
        <w:t>The Housing Act 1996 – defines homelessness and those eligible for accommodation, and specifically focuses on DV victims and their housing assistance needs.</w:t>
      </w:r>
    </w:p>
    <w:p w14:paraId="1EC7279D" w14:textId="77777777" w:rsidR="000A36B4" w:rsidRDefault="000A36B4" w:rsidP="000A36B4">
      <w:pPr>
        <w:rPr>
          <w:rFonts w:ascii="Times New Roman" w:hAnsi="Times New Roman" w:cs="Times New Roman"/>
          <w:sz w:val="24"/>
          <w:szCs w:val="24"/>
        </w:rPr>
      </w:pPr>
      <w:r>
        <w:rPr>
          <w:rFonts w:ascii="Times New Roman" w:hAnsi="Times New Roman" w:cs="Times New Roman"/>
          <w:sz w:val="24"/>
          <w:szCs w:val="24"/>
        </w:rPr>
        <w:t>The Children Act, 1989 – covers public and private law particularly in relation to Child in Need (S17) and Child Protection (S47) intervention requirements.</w:t>
      </w:r>
    </w:p>
    <w:p w14:paraId="59477F96" w14:textId="77777777" w:rsidR="000A36B4" w:rsidRDefault="000A36B4" w:rsidP="000A36B4">
      <w:pPr>
        <w:rPr>
          <w:rFonts w:ascii="Times New Roman" w:hAnsi="Times New Roman" w:cs="Times New Roman"/>
          <w:sz w:val="24"/>
          <w:szCs w:val="24"/>
          <w:lang w:eastAsia="en-GB"/>
        </w:rPr>
      </w:pPr>
      <w:r>
        <w:rPr>
          <w:rFonts w:ascii="Times New Roman" w:hAnsi="Times New Roman" w:cs="Times New Roman"/>
          <w:sz w:val="24"/>
          <w:szCs w:val="24"/>
        </w:rPr>
        <w:t xml:space="preserve">The Adoption and Children Act, 2002 – </w:t>
      </w:r>
      <w:r w:rsidRPr="00357191">
        <w:rPr>
          <w:rFonts w:ascii="Times New Roman" w:hAnsi="Times New Roman" w:cs="Times New Roman"/>
          <w:sz w:val="24"/>
          <w:szCs w:val="24"/>
          <w:lang w:eastAsia="en-GB"/>
        </w:rPr>
        <w:t>extend</w:t>
      </w:r>
      <w:r>
        <w:rPr>
          <w:rFonts w:ascii="Times New Roman" w:hAnsi="Times New Roman" w:cs="Times New Roman"/>
          <w:sz w:val="24"/>
          <w:szCs w:val="24"/>
          <w:lang w:eastAsia="en-GB"/>
        </w:rPr>
        <w:t>s</w:t>
      </w:r>
      <w:r w:rsidRPr="00357191">
        <w:rPr>
          <w:rFonts w:ascii="Times New Roman" w:hAnsi="Times New Roman" w:cs="Times New Roman"/>
          <w:sz w:val="24"/>
          <w:szCs w:val="24"/>
          <w:lang w:eastAsia="en-GB"/>
        </w:rPr>
        <w:t xml:space="preserve"> the legal definition of ‘significant harm' to include harm </w:t>
      </w:r>
      <w:r>
        <w:rPr>
          <w:rFonts w:ascii="Times New Roman" w:hAnsi="Times New Roman" w:cs="Times New Roman"/>
          <w:sz w:val="24"/>
          <w:szCs w:val="24"/>
          <w:lang w:eastAsia="en-GB"/>
        </w:rPr>
        <w:t xml:space="preserve">to children </w:t>
      </w:r>
      <w:r w:rsidRPr="00357191">
        <w:rPr>
          <w:rFonts w:ascii="Times New Roman" w:hAnsi="Times New Roman" w:cs="Times New Roman"/>
          <w:sz w:val="24"/>
          <w:szCs w:val="24"/>
          <w:lang w:eastAsia="en-GB"/>
        </w:rPr>
        <w:t>caused by witnessing</w:t>
      </w:r>
      <w:r>
        <w:rPr>
          <w:rFonts w:ascii="Times New Roman" w:hAnsi="Times New Roman" w:cs="Times New Roman"/>
          <w:sz w:val="24"/>
          <w:szCs w:val="24"/>
          <w:lang w:eastAsia="en-GB"/>
        </w:rPr>
        <w:t>/</w:t>
      </w:r>
      <w:r w:rsidRPr="00357191">
        <w:rPr>
          <w:rFonts w:ascii="Times New Roman" w:hAnsi="Times New Roman" w:cs="Times New Roman"/>
          <w:sz w:val="24"/>
          <w:szCs w:val="24"/>
          <w:lang w:eastAsia="en-GB"/>
        </w:rPr>
        <w:t xml:space="preserve">overhearing abuse of another, especially </w:t>
      </w:r>
      <w:r>
        <w:rPr>
          <w:rFonts w:ascii="Times New Roman" w:hAnsi="Times New Roman" w:cs="Times New Roman"/>
          <w:sz w:val="24"/>
          <w:szCs w:val="24"/>
          <w:lang w:eastAsia="en-GB"/>
        </w:rPr>
        <w:t>DV.</w:t>
      </w:r>
    </w:p>
    <w:p w14:paraId="26F67742" w14:textId="77777777" w:rsidR="000A36B4" w:rsidRDefault="000A36B4" w:rsidP="000A36B4">
      <w:pPr>
        <w:rPr>
          <w:rFonts w:ascii="Times New Roman" w:hAnsi="Times New Roman" w:cs="Times New Roman"/>
          <w:sz w:val="24"/>
          <w:szCs w:val="24"/>
          <w:lang w:eastAsia="en-GB"/>
        </w:rPr>
      </w:pPr>
      <w:r>
        <w:rPr>
          <w:rFonts w:ascii="Times New Roman" w:hAnsi="Times New Roman" w:cs="Times New Roman"/>
          <w:sz w:val="24"/>
          <w:szCs w:val="24"/>
          <w:lang w:eastAsia="en-GB"/>
        </w:rPr>
        <w:t>The Children Act, 2004 – promotes closer cooperation between agencies.</w:t>
      </w:r>
    </w:p>
    <w:p w14:paraId="5849E9AE" w14:textId="5FDEB324" w:rsidR="000A36B4" w:rsidRDefault="000A36B4" w:rsidP="000A36B4">
      <w:pPr>
        <w:rPr>
          <w:rFonts w:ascii="Times New Roman" w:hAnsi="Times New Roman" w:cs="Times New Roman"/>
          <w:sz w:val="24"/>
          <w:szCs w:val="24"/>
          <w:lang w:eastAsia="en-GB"/>
        </w:rPr>
      </w:pPr>
      <w:r>
        <w:rPr>
          <w:rFonts w:ascii="Times New Roman" w:hAnsi="Times New Roman" w:cs="Times New Roman"/>
          <w:sz w:val="24"/>
          <w:szCs w:val="24"/>
          <w:lang w:eastAsia="en-GB"/>
        </w:rPr>
        <w:t>The Forced Marriage (Civi</w:t>
      </w:r>
      <w:r w:rsidR="00F0129D">
        <w:rPr>
          <w:rFonts w:ascii="Times New Roman" w:hAnsi="Times New Roman" w:cs="Times New Roman"/>
          <w:sz w:val="24"/>
          <w:szCs w:val="24"/>
          <w:lang w:eastAsia="en-GB"/>
        </w:rPr>
        <w:t xml:space="preserve">l Protection) Act, 2007 – </w:t>
      </w:r>
      <w:r>
        <w:rPr>
          <w:rFonts w:ascii="Times New Roman" w:hAnsi="Times New Roman" w:cs="Times New Roman"/>
          <w:sz w:val="24"/>
          <w:szCs w:val="24"/>
          <w:lang w:eastAsia="en-GB"/>
        </w:rPr>
        <w:t xml:space="preserve">powers to prevent a forced marriage. </w:t>
      </w:r>
    </w:p>
    <w:p w14:paraId="7D345B07" w14:textId="7D8B55F3" w:rsidR="003811CA" w:rsidRPr="00A70D7E" w:rsidRDefault="003811CA" w:rsidP="000A36B4">
      <w:pPr>
        <w:rPr>
          <w:rFonts w:ascii="Times New Roman" w:hAnsi="Times New Roman" w:cs="Times New Roman"/>
          <w:b/>
          <w:sz w:val="24"/>
          <w:szCs w:val="24"/>
          <w:u w:val="single"/>
          <w:lang w:eastAsia="en-GB"/>
        </w:rPr>
      </w:pPr>
      <w:bookmarkStart w:id="0" w:name="_GoBack"/>
      <w:bookmarkEnd w:id="0"/>
      <w:r w:rsidRPr="00A70D7E">
        <w:rPr>
          <w:rFonts w:ascii="Times New Roman" w:hAnsi="Times New Roman" w:cs="Times New Roman"/>
          <w:b/>
          <w:sz w:val="24"/>
          <w:szCs w:val="24"/>
          <w:u w:val="single"/>
          <w:lang w:eastAsia="en-GB"/>
        </w:rPr>
        <w:lastRenderedPageBreak/>
        <w:t>Specific civil t</w:t>
      </w:r>
      <w:r w:rsidR="005C198E" w:rsidRPr="00A70D7E">
        <w:rPr>
          <w:rFonts w:ascii="Times New Roman" w:hAnsi="Times New Roman" w:cs="Times New Roman"/>
          <w:b/>
          <w:sz w:val="24"/>
          <w:szCs w:val="24"/>
          <w:u w:val="single"/>
          <w:lang w:eastAsia="en-GB"/>
        </w:rPr>
        <w:t>ools for</w:t>
      </w:r>
      <w:r w:rsidRPr="00A70D7E">
        <w:rPr>
          <w:rFonts w:ascii="Times New Roman" w:hAnsi="Times New Roman" w:cs="Times New Roman"/>
          <w:b/>
          <w:sz w:val="24"/>
          <w:szCs w:val="24"/>
          <w:u w:val="single"/>
          <w:lang w:eastAsia="en-GB"/>
        </w:rPr>
        <w:t xml:space="preserve"> </w:t>
      </w:r>
      <w:r w:rsidR="005C198E" w:rsidRPr="00A70D7E">
        <w:rPr>
          <w:rFonts w:ascii="Times New Roman" w:hAnsi="Times New Roman" w:cs="Times New Roman"/>
          <w:b/>
          <w:sz w:val="24"/>
          <w:szCs w:val="24"/>
          <w:u w:val="single"/>
          <w:lang w:eastAsia="en-GB"/>
        </w:rPr>
        <w:t>professionals to deploy to</w:t>
      </w:r>
      <w:r w:rsidRPr="00A70D7E">
        <w:rPr>
          <w:rFonts w:ascii="Times New Roman" w:hAnsi="Times New Roman" w:cs="Times New Roman"/>
          <w:b/>
          <w:sz w:val="24"/>
          <w:szCs w:val="24"/>
          <w:u w:val="single"/>
          <w:lang w:eastAsia="en-GB"/>
        </w:rPr>
        <w:t xml:space="preserve"> prevent </w:t>
      </w:r>
      <w:r w:rsidR="005C198E" w:rsidRPr="00A70D7E">
        <w:rPr>
          <w:rFonts w:ascii="Times New Roman" w:hAnsi="Times New Roman" w:cs="Times New Roman"/>
          <w:b/>
          <w:sz w:val="24"/>
          <w:szCs w:val="24"/>
          <w:u w:val="single"/>
          <w:lang w:eastAsia="en-GB"/>
        </w:rPr>
        <w:t xml:space="preserve">VAWG </w:t>
      </w:r>
      <w:r w:rsidR="00281AE0" w:rsidRPr="00A70D7E">
        <w:rPr>
          <w:rFonts w:ascii="Times New Roman" w:hAnsi="Times New Roman" w:cs="Times New Roman"/>
          <w:b/>
          <w:sz w:val="24"/>
          <w:szCs w:val="24"/>
          <w:u w:val="single"/>
          <w:lang w:eastAsia="en-GB"/>
        </w:rPr>
        <w:t>victimisation</w:t>
      </w:r>
    </w:p>
    <w:p w14:paraId="5E71BCF7" w14:textId="77777777" w:rsidR="00EF3E1A" w:rsidRDefault="00EF3E1A" w:rsidP="00EF3E1A">
      <w:pPr>
        <w:rPr>
          <w:rFonts w:ascii="Times New Roman" w:hAnsi="Times New Roman" w:cs="Times New Roman"/>
          <w:sz w:val="24"/>
          <w:szCs w:val="24"/>
        </w:rPr>
      </w:pPr>
      <w:r w:rsidRPr="0063632C">
        <w:rPr>
          <w:rFonts w:ascii="Times New Roman" w:hAnsi="Times New Roman" w:cs="Times New Roman"/>
          <w:b/>
          <w:sz w:val="24"/>
          <w:szCs w:val="24"/>
        </w:rPr>
        <w:t>Domestic Violence Protection Orders</w:t>
      </w:r>
      <w:r>
        <w:rPr>
          <w:rFonts w:ascii="Times New Roman" w:hAnsi="Times New Roman" w:cs="Times New Roman"/>
          <w:sz w:val="24"/>
          <w:szCs w:val="24"/>
        </w:rPr>
        <w:t xml:space="preserve"> (DVPO) were introduced in 2014 and permit the Police to make an application to the Magistrates Court for a domestic violence perpetrator to be excluded from the victim’s home for between 14 and 28 days.  The Order can be </w:t>
      </w:r>
      <w:r w:rsidRPr="00636E79">
        <w:rPr>
          <w:rFonts w:ascii="Times New Roman" w:hAnsi="Times New Roman" w:cs="Times New Roman"/>
          <w:sz w:val="24"/>
          <w:szCs w:val="24"/>
        </w:rPr>
        <w:t>made on a contested or emergency</w:t>
      </w:r>
      <w:r>
        <w:rPr>
          <w:rFonts w:ascii="Times New Roman" w:hAnsi="Times New Roman" w:cs="Times New Roman"/>
          <w:sz w:val="24"/>
          <w:szCs w:val="24"/>
        </w:rPr>
        <w:t xml:space="preserve"> </w:t>
      </w:r>
      <w:r w:rsidRPr="0063632C">
        <w:rPr>
          <w:rFonts w:ascii="Times New Roman" w:hAnsi="Times New Roman" w:cs="Times New Roman"/>
          <w:i/>
          <w:sz w:val="24"/>
          <w:szCs w:val="24"/>
        </w:rPr>
        <w:t xml:space="preserve">ex </w:t>
      </w:r>
      <w:proofErr w:type="spellStart"/>
      <w:r w:rsidRPr="0063632C">
        <w:rPr>
          <w:rFonts w:ascii="Times New Roman" w:hAnsi="Times New Roman" w:cs="Times New Roman"/>
          <w:i/>
          <w:sz w:val="24"/>
          <w:szCs w:val="24"/>
        </w:rPr>
        <w:t>parte</w:t>
      </w:r>
      <w:proofErr w:type="spellEnd"/>
      <w:r>
        <w:rPr>
          <w:rFonts w:ascii="Times New Roman" w:hAnsi="Times New Roman" w:cs="Times New Roman"/>
          <w:i/>
          <w:sz w:val="24"/>
          <w:szCs w:val="24"/>
        </w:rPr>
        <w:t xml:space="preserve"> </w:t>
      </w:r>
      <w:r w:rsidRPr="0063632C">
        <w:rPr>
          <w:rFonts w:ascii="Times New Roman" w:hAnsi="Times New Roman" w:cs="Times New Roman"/>
          <w:sz w:val="24"/>
          <w:szCs w:val="24"/>
        </w:rPr>
        <w:t>basis</w:t>
      </w:r>
      <w:r>
        <w:rPr>
          <w:rFonts w:ascii="Times New Roman" w:hAnsi="Times New Roman" w:cs="Times New Roman"/>
          <w:sz w:val="24"/>
          <w:szCs w:val="24"/>
        </w:rPr>
        <w:t>, and does not require the support of the victim.  It is designed to give victims some time to evaluate their situations, and obtain information and advice about their options from specialist organisations.</w:t>
      </w:r>
    </w:p>
    <w:p w14:paraId="4C6B39C1" w14:textId="77777777" w:rsidR="00EF3E1A" w:rsidRDefault="00EF3E1A" w:rsidP="00EF3E1A">
      <w:pPr>
        <w:rPr>
          <w:rFonts w:ascii="Times New Roman" w:hAnsi="Times New Roman" w:cs="Times New Roman"/>
          <w:sz w:val="24"/>
          <w:szCs w:val="24"/>
        </w:rPr>
      </w:pPr>
      <w:r>
        <w:rPr>
          <w:rFonts w:ascii="Times New Roman" w:hAnsi="Times New Roman" w:cs="Times New Roman"/>
          <w:sz w:val="24"/>
          <w:szCs w:val="24"/>
        </w:rPr>
        <w:t xml:space="preserve">The </w:t>
      </w:r>
      <w:r w:rsidRPr="00552454">
        <w:rPr>
          <w:rFonts w:ascii="Times New Roman" w:hAnsi="Times New Roman" w:cs="Times New Roman"/>
          <w:b/>
          <w:sz w:val="24"/>
          <w:szCs w:val="24"/>
        </w:rPr>
        <w:t>Domestic Violence Disclosure Scheme</w:t>
      </w:r>
      <w:r>
        <w:rPr>
          <w:rFonts w:ascii="Times New Roman" w:hAnsi="Times New Roman" w:cs="Times New Roman"/>
          <w:sz w:val="24"/>
          <w:szCs w:val="24"/>
        </w:rPr>
        <w:t>, also known as Clare’s Law went live on 8 March 2014</w:t>
      </w:r>
      <w:r w:rsidRPr="00636E79">
        <w:rPr>
          <w:rFonts w:ascii="Times New Roman" w:hAnsi="Times New Roman" w:cs="Times New Roman"/>
          <w:sz w:val="24"/>
          <w:szCs w:val="24"/>
        </w:rPr>
        <w:t>.  In certain circumstances</w:t>
      </w:r>
      <w:r>
        <w:rPr>
          <w:rFonts w:ascii="Times New Roman" w:hAnsi="Times New Roman" w:cs="Times New Roman"/>
          <w:sz w:val="24"/>
          <w:szCs w:val="24"/>
        </w:rPr>
        <w:t xml:space="preserve">, the scheme allows Police to disclose information about a partner’s previous abusive and violent history under the ‘Right to Know’ clause, and to disclose information where members of the public raise concerns about their partner or the partner of a family member or friend, under the ‘Right to Ask’ clause.  Applications are made in person at a Police Station. </w:t>
      </w:r>
    </w:p>
    <w:p w14:paraId="48937BC7" w14:textId="77777777" w:rsidR="00EF3E1A" w:rsidRPr="00636E79" w:rsidRDefault="00EF3E1A" w:rsidP="00EF3E1A">
      <w:pPr>
        <w:spacing w:before="100" w:beforeAutospacing="1" w:after="100" w:afterAutospacing="1" w:line="240" w:lineRule="auto"/>
        <w:rPr>
          <w:rFonts w:ascii="Times New Roman" w:eastAsia="Times New Roman" w:hAnsi="Times New Roman" w:cs="Times New Roman"/>
          <w:sz w:val="24"/>
          <w:szCs w:val="24"/>
          <w:lang w:val="en" w:eastAsia="en-GB"/>
        </w:rPr>
      </w:pPr>
      <w:r w:rsidRPr="00636E79">
        <w:rPr>
          <w:rFonts w:ascii="Times New Roman" w:hAnsi="Times New Roman" w:cs="Times New Roman"/>
          <w:b/>
          <w:sz w:val="24"/>
          <w:szCs w:val="24"/>
        </w:rPr>
        <w:t>Forced Marriage Protection Orders</w:t>
      </w:r>
      <w:r w:rsidRPr="00636E79">
        <w:rPr>
          <w:rFonts w:ascii="Times New Roman" w:hAnsi="Times New Roman" w:cs="Times New Roman"/>
          <w:sz w:val="24"/>
          <w:szCs w:val="24"/>
        </w:rPr>
        <w:t xml:space="preserve"> (FMPO) were introduced under The Forced Marriage (Civil Protection) Act 2007.  </w:t>
      </w:r>
      <w:r w:rsidRPr="00636E79">
        <w:rPr>
          <w:rFonts w:ascii="Times New Roman" w:hAnsi="Times New Roman" w:cs="Times New Roman"/>
          <w:sz w:val="24"/>
          <w:szCs w:val="24"/>
          <w:lang w:val="en"/>
        </w:rPr>
        <w:t xml:space="preserve">Individuals themselves (adult or child), family </w:t>
      </w:r>
      <w:r w:rsidRPr="00636E79">
        <w:rPr>
          <w:rFonts w:ascii="Times New Roman" w:eastAsia="Times New Roman" w:hAnsi="Times New Roman" w:cs="Times New Roman"/>
          <w:sz w:val="24"/>
          <w:szCs w:val="24"/>
          <w:lang w:val="en" w:eastAsia="en-GB"/>
        </w:rPr>
        <w:t xml:space="preserve">relatives, friends, or relevant parties such as Police or Local Authority can apply for a </w:t>
      </w:r>
      <w:r w:rsidRPr="00636E79">
        <w:rPr>
          <w:rFonts w:ascii="Times New Roman" w:hAnsi="Times New Roman" w:cs="Times New Roman"/>
          <w:sz w:val="24"/>
          <w:szCs w:val="24"/>
          <w:lang w:val="en"/>
        </w:rPr>
        <w:t>FMPO if they or someone else is threatened with</w:t>
      </w:r>
      <w:r w:rsidRPr="00636E79">
        <w:rPr>
          <w:rFonts w:ascii="Times New Roman" w:eastAsia="Times New Roman" w:hAnsi="Times New Roman" w:cs="Times New Roman"/>
          <w:sz w:val="24"/>
          <w:szCs w:val="24"/>
          <w:lang w:val="en" w:eastAsia="en-GB"/>
        </w:rPr>
        <w:t xml:space="preserve"> or already in a forced marriage.</w:t>
      </w:r>
      <w:r w:rsidRPr="00636E79">
        <w:rPr>
          <w:rFonts w:ascii="Times New Roman" w:hAnsi="Times New Roman" w:cs="Times New Roman"/>
          <w:sz w:val="24"/>
          <w:szCs w:val="24"/>
          <w:lang w:val="en"/>
        </w:rPr>
        <w:t xml:space="preserve">  For Wolverhampton FMPOs, applications are made to Birmingham Civil &amp; Family Justice Centre on a contested or emergency </w:t>
      </w:r>
      <w:r w:rsidRPr="00636E79">
        <w:rPr>
          <w:rFonts w:ascii="Times New Roman" w:hAnsi="Times New Roman" w:cs="Times New Roman"/>
          <w:i/>
          <w:sz w:val="24"/>
          <w:szCs w:val="24"/>
          <w:lang w:val="en"/>
        </w:rPr>
        <w:t xml:space="preserve">ex </w:t>
      </w:r>
      <w:proofErr w:type="spellStart"/>
      <w:r w:rsidRPr="00636E79">
        <w:rPr>
          <w:rFonts w:ascii="Times New Roman" w:hAnsi="Times New Roman" w:cs="Times New Roman"/>
          <w:i/>
          <w:sz w:val="24"/>
          <w:szCs w:val="24"/>
          <w:lang w:val="en"/>
        </w:rPr>
        <w:t>parte</w:t>
      </w:r>
      <w:proofErr w:type="spellEnd"/>
      <w:r w:rsidRPr="00636E79">
        <w:rPr>
          <w:rFonts w:ascii="Times New Roman" w:hAnsi="Times New Roman" w:cs="Times New Roman"/>
          <w:sz w:val="24"/>
          <w:szCs w:val="24"/>
          <w:lang w:val="en"/>
        </w:rPr>
        <w:t xml:space="preserve"> basis. FMPOs can</w:t>
      </w:r>
      <w:r w:rsidRPr="00636E79">
        <w:rPr>
          <w:rFonts w:ascii="Times New Roman" w:eastAsia="Times New Roman" w:hAnsi="Times New Roman" w:cs="Times New Roman"/>
          <w:sz w:val="24"/>
          <w:szCs w:val="24"/>
          <w:lang w:val="en" w:eastAsia="en-GB"/>
        </w:rPr>
        <w:t xml:space="preserve"> relate to conduct within and outside England and Wales, and can</w:t>
      </w:r>
      <w:r w:rsidRPr="00636E79">
        <w:rPr>
          <w:rFonts w:ascii="Times New Roman" w:hAnsi="Times New Roman" w:cs="Times New Roman"/>
          <w:sz w:val="24"/>
          <w:szCs w:val="24"/>
          <w:lang w:val="en"/>
        </w:rPr>
        <w:t xml:space="preserve"> include prohibitions and restrictions, </w:t>
      </w:r>
      <w:proofErr w:type="spellStart"/>
      <w:r w:rsidRPr="00636E79">
        <w:rPr>
          <w:rFonts w:ascii="Times New Roman" w:hAnsi="Times New Roman" w:cs="Times New Roman"/>
          <w:sz w:val="24"/>
          <w:szCs w:val="24"/>
          <w:lang w:val="en"/>
        </w:rPr>
        <w:t>eg</w:t>
      </w:r>
      <w:proofErr w:type="spellEnd"/>
      <w:r w:rsidRPr="00636E79">
        <w:rPr>
          <w:rFonts w:ascii="Times New Roman" w:hAnsi="Times New Roman" w:cs="Times New Roman"/>
          <w:sz w:val="24"/>
          <w:szCs w:val="24"/>
          <w:lang w:val="en"/>
        </w:rPr>
        <w:t xml:space="preserve"> to prevent</w:t>
      </w:r>
      <w:r w:rsidRPr="00636E79">
        <w:rPr>
          <w:rFonts w:ascii="Times New Roman" w:eastAsia="Times New Roman" w:hAnsi="Times New Roman" w:cs="Times New Roman"/>
          <w:sz w:val="24"/>
          <w:szCs w:val="24"/>
          <w:lang w:val="en" w:eastAsia="en-GB"/>
        </w:rPr>
        <w:t xml:space="preserve"> </w:t>
      </w:r>
      <w:r w:rsidRPr="00636E79">
        <w:rPr>
          <w:rFonts w:ascii="Times New Roman" w:hAnsi="Times New Roman" w:cs="Times New Roman"/>
          <w:sz w:val="24"/>
          <w:szCs w:val="24"/>
          <w:lang w:val="en"/>
        </w:rPr>
        <w:t>the individual from being taken</w:t>
      </w:r>
      <w:r w:rsidRPr="00636E79">
        <w:rPr>
          <w:rFonts w:ascii="Times New Roman" w:eastAsia="Times New Roman" w:hAnsi="Times New Roman" w:cs="Times New Roman"/>
          <w:sz w:val="24"/>
          <w:szCs w:val="24"/>
          <w:lang w:val="en" w:eastAsia="en-GB"/>
        </w:rPr>
        <w:t xml:space="preserve"> out of the UK, and/or </w:t>
      </w:r>
      <w:r w:rsidRPr="00636E79">
        <w:rPr>
          <w:rFonts w:ascii="Times New Roman" w:hAnsi="Times New Roman" w:cs="Times New Roman"/>
          <w:sz w:val="24"/>
          <w:szCs w:val="24"/>
          <w:lang w:val="en"/>
        </w:rPr>
        <w:t xml:space="preserve">or include requirements, </w:t>
      </w:r>
      <w:proofErr w:type="spellStart"/>
      <w:r w:rsidRPr="00636E79">
        <w:rPr>
          <w:rFonts w:ascii="Times New Roman" w:hAnsi="Times New Roman" w:cs="Times New Roman"/>
          <w:sz w:val="24"/>
          <w:szCs w:val="24"/>
          <w:lang w:val="en"/>
        </w:rPr>
        <w:t>eg</w:t>
      </w:r>
      <w:proofErr w:type="spellEnd"/>
      <w:r w:rsidRPr="00636E79">
        <w:rPr>
          <w:rFonts w:ascii="Times New Roman" w:hAnsi="Times New Roman" w:cs="Times New Roman"/>
          <w:sz w:val="24"/>
          <w:szCs w:val="24"/>
          <w:lang w:val="en"/>
        </w:rPr>
        <w:t xml:space="preserve"> to protect someone against an action</w:t>
      </w:r>
      <w:r w:rsidRPr="00636E79">
        <w:rPr>
          <w:rFonts w:ascii="Times New Roman" w:eastAsia="Times New Roman" w:hAnsi="Times New Roman" w:cs="Times New Roman"/>
          <w:sz w:val="24"/>
          <w:szCs w:val="24"/>
          <w:lang w:val="en" w:eastAsia="en-GB"/>
        </w:rPr>
        <w:t xml:space="preserve">.  Orders </w:t>
      </w:r>
      <w:r w:rsidRPr="00636E79">
        <w:rPr>
          <w:rFonts w:ascii="Times New Roman" w:hAnsi="Times New Roman" w:cs="Times New Roman"/>
          <w:sz w:val="24"/>
          <w:szCs w:val="24"/>
        </w:rPr>
        <w:t xml:space="preserve">can last for a specified </w:t>
      </w:r>
      <w:proofErr w:type="gramStart"/>
      <w:r w:rsidRPr="00636E79">
        <w:rPr>
          <w:rFonts w:ascii="Times New Roman" w:hAnsi="Times New Roman" w:cs="Times New Roman"/>
          <w:sz w:val="24"/>
          <w:szCs w:val="24"/>
        </w:rPr>
        <w:t>period of time</w:t>
      </w:r>
      <w:proofErr w:type="gramEnd"/>
      <w:r w:rsidRPr="00636E79">
        <w:rPr>
          <w:rFonts w:ascii="Times New Roman" w:hAnsi="Times New Roman" w:cs="Times New Roman"/>
          <w:sz w:val="24"/>
          <w:szCs w:val="24"/>
        </w:rPr>
        <w:t xml:space="preserve"> or can be for an indefinite period. </w:t>
      </w:r>
    </w:p>
    <w:p w14:paraId="5D0052E3" w14:textId="77777777" w:rsidR="00EF3E1A" w:rsidRPr="00636E79" w:rsidRDefault="00EF3E1A" w:rsidP="00EF3E1A">
      <w:pPr>
        <w:pStyle w:val="Default"/>
        <w:rPr>
          <w:rFonts w:ascii="Arial" w:hAnsi="Arial" w:cs="Arial"/>
          <w:lang w:eastAsia="en-GB"/>
        </w:rPr>
      </w:pPr>
      <w:r w:rsidRPr="00636E79">
        <w:rPr>
          <w:rFonts w:ascii="Times New Roman" w:hAnsi="Times New Roman" w:cs="Times New Roman"/>
          <w:b/>
        </w:rPr>
        <w:t>Female Genital Mutilation Protection Orders</w:t>
      </w:r>
      <w:r w:rsidRPr="00636E79">
        <w:rPr>
          <w:rFonts w:ascii="Times New Roman" w:hAnsi="Times New Roman" w:cs="Times New Roman"/>
        </w:rPr>
        <w:t xml:space="preserve"> (FGMPO) were introduced under the Serious Crime Act 2015 although FGM has been a criminal offence in the UK since 1985.  </w:t>
      </w:r>
      <w:r w:rsidRPr="00636E79">
        <w:rPr>
          <w:rFonts w:ascii="Times New Roman" w:hAnsi="Times New Roman" w:cs="Times New Roman"/>
          <w:color w:val="auto"/>
        </w:rPr>
        <w:t xml:space="preserve"> </w:t>
      </w:r>
      <w:r w:rsidRPr="00636E79">
        <w:rPr>
          <w:rFonts w:ascii="Times New Roman" w:hAnsi="Times New Roman" w:cs="Times New Roman"/>
          <w:lang w:val="en"/>
        </w:rPr>
        <w:t xml:space="preserve">Individuals themselves (adult or child), family </w:t>
      </w:r>
      <w:r w:rsidRPr="00636E79">
        <w:rPr>
          <w:rFonts w:ascii="Times New Roman" w:eastAsia="Times New Roman" w:hAnsi="Times New Roman" w:cs="Times New Roman"/>
          <w:lang w:val="en" w:eastAsia="en-GB"/>
        </w:rPr>
        <w:t xml:space="preserve">relatives, friends, or relevant parties such as Police or Local Authority can apply for a </w:t>
      </w:r>
      <w:r w:rsidRPr="00636E79">
        <w:rPr>
          <w:rFonts w:ascii="Times New Roman" w:hAnsi="Times New Roman" w:cs="Times New Roman"/>
          <w:lang w:val="en"/>
        </w:rPr>
        <w:t xml:space="preserve">FMPO if they or someone else is being threatened with FGM.  For Wolverhampton FGMPOs, applications are made to Birmingham Civil &amp; Family Justice Centre, and can be made on a contested or emergency </w:t>
      </w:r>
      <w:r w:rsidRPr="00636E79">
        <w:rPr>
          <w:rFonts w:ascii="Times New Roman" w:hAnsi="Times New Roman" w:cs="Times New Roman"/>
          <w:i/>
          <w:lang w:val="en"/>
        </w:rPr>
        <w:t xml:space="preserve">ex </w:t>
      </w:r>
      <w:proofErr w:type="spellStart"/>
      <w:r w:rsidRPr="00636E79">
        <w:rPr>
          <w:rFonts w:ascii="Times New Roman" w:hAnsi="Times New Roman" w:cs="Times New Roman"/>
          <w:i/>
          <w:lang w:val="en"/>
        </w:rPr>
        <w:t>parte</w:t>
      </w:r>
      <w:proofErr w:type="spellEnd"/>
      <w:r w:rsidRPr="00636E79">
        <w:rPr>
          <w:rFonts w:ascii="Times New Roman" w:hAnsi="Times New Roman" w:cs="Times New Roman"/>
          <w:lang w:val="en"/>
        </w:rPr>
        <w:t xml:space="preserve"> basis.  FGMPOs can</w:t>
      </w:r>
      <w:r w:rsidRPr="00636E79">
        <w:rPr>
          <w:rFonts w:ascii="Times New Roman" w:eastAsia="Times New Roman" w:hAnsi="Times New Roman" w:cs="Times New Roman"/>
          <w:lang w:val="en" w:eastAsia="en-GB"/>
        </w:rPr>
        <w:t xml:space="preserve"> relate to conduct within and outside England and Wales, and can</w:t>
      </w:r>
      <w:r w:rsidRPr="00636E79">
        <w:rPr>
          <w:rFonts w:ascii="Times New Roman" w:hAnsi="Times New Roman" w:cs="Times New Roman"/>
          <w:lang w:val="en"/>
        </w:rPr>
        <w:t xml:space="preserve"> include prohibitions, restrictions, and requirements, </w:t>
      </w:r>
      <w:proofErr w:type="spellStart"/>
      <w:r w:rsidRPr="00636E79">
        <w:rPr>
          <w:rFonts w:ascii="Times New Roman" w:hAnsi="Times New Roman" w:cs="Times New Roman"/>
          <w:lang w:val="en"/>
        </w:rPr>
        <w:t>eg</w:t>
      </w:r>
      <w:proofErr w:type="spellEnd"/>
      <w:r w:rsidRPr="00636E79">
        <w:rPr>
          <w:rFonts w:ascii="Times New Roman" w:hAnsi="Times New Roman" w:cs="Times New Roman"/>
          <w:lang w:val="en"/>
        </w:rPr>
        <w:t xml:space="preserve"> to surrender a passport, and not to enter into any arrangements to conduct FGM</w:t>
      </w:r>
      <w:r w:rsidRPr="00636E79">
        <w:rPr>
          <w:rFonts w:ascii="Times New Roman" w:eastAsia="Times New Roman" w:hAnsi="Times New Roman" w:cs="Times New Roman"/>
          <w:lang w:val="en" w:eastAsia="en-GB"/>
        </w:rPr>
        <w:t xml:space="preserve">.  </w:t>
      </w:r>
      <w:r w:rsidRPr="00636E79">
        <w:rPr>
          <w:rFonts w:ascii="Times New Roman" w:eastAsia="Times New Roman" w:hAnsi="Times New Roman" w:cs="Times New Roman"/>
          <w:color w:val="auto"/>
          <w:lang w:val="en" w:eastAsia="en-GB"/>
        </w:rPr>
        <w:t xml:space="preserve">Orders </w:t>
      </w:r>
      <w:r w:rsidRPr="00636E79">
        <w:rPr>
          <w:rFonts w:ascii="Times New Roman" w:hAnsi="Times New Roman" w:cs="Times New Roman"/>
          <w:color w:val="auto"/>
        </w:rPr>
        <w:t xml:space="preserve">can last for a specified </w:t>
      </w:r>
      <w:proofErr w:type="gramStart"/>
      <w:r w:rsidRPr="00636E79">
        <w:rPr>
          <w:rFonts w:ascii="Times New Roman" w:hAnsi="Times New Roman" w:cs="Times New Roman"/>
          <w:color w:val="auto"/>
        </w:rPr>
        <w:t>period of time</w:t>
      </w:r>
      <w:proofErr w:type="gramEnd"/>
      <w:r w:rsidRPr="00636E79">
        <w:rPr>
          <w:rFonts w:ascii="Times New Roman" w:hAnsi="Times New Roman" w:cs="Times New Roman"/>
          <w:color w:val="auto"/>
        </w:rPr>
        <w:t xml:space="preserve"> or can be for an indefinite period</w:t>
      </w:r>
      <w:r w:rsidRPr="00636E79">
        <w:rPr>
          <w:rFonts w:ascii="Times New Roman" w:hAnsi="Times New Roman" w:cs="Times New Roman"/>
        </w:rPr>
        <w:t>.</w:t>
      </w:r>
      <w:r w:rsidRPr="00636E79">
        <w:rPr>
          <w:rFonts w:ascii="Times New Roman" w:hAnsi="Times New Roman" w:cs="Times New Roman"/>
          <w:b/>
        </w:rPr>
        <w:t xml:space="preserve"> </w:t>
      </w:r>
    </w:p>
    <w:p w14:paraId="7078C73F" w14:textId="77777777" w:rsidR="00EF3E1A" w:rsidRPr="00636E79" w:rsidRDefault="00EF3E1A" w:rsidP="00EF3E1A">
      <w:pPr>
        <w:spacing w:after="0"/>
        <w:rPr>
          <w:rFonts w:ascii="Times New Roman" w:hAnsi="Times New Roman" w:cs="Times New Roman"/>
          <w:sz w:val="24"/>
          <w:szCs w:val="24"/>
          <w:u w:val="single"/>
        </w:rPr>
      </w:pPr>
    </w:p>
    <w:p w14:paraId="4B9FFFA1" w14:textId="77777777" w:rsidR="000A36B4" w:rsidRDefault="000A36B4"/>
    <w:sectPr w:rsidR="000A36B4" w:rsidSect="00A70D7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E8FC6" w14:textId="77777777" w:rsidR="003D5E13" w:rsidRDefault="003D5E13" w:rsidP="00F0129D">
      <w:pPr>
        <w:spacing w:after="0" w:line="240" w:lineRule="auto"/>
      </w:pPr>
      <w:r>
        <w:separator/>
      </w:r>
    </w:p>
  </w:endnote>
  <w:endnote w:type="continuationSeparator" w:id="0">
    <w:p w14:paraId="7C165B01" w14:textId="77777777" w:rsidR="003D5E13" w:rsidRDefault="003D5E13" w:rsidP="00F0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138A" w14:textId="77777777" w:rsidR="003D5E13" w:rsidRDefault="003D5E13" w:rsidP="00F0129D">
      <w:pPr>
        <w:spacing w:after="0" w:line="240" w:lineRule="auto"/>
      </w:pPr>
      <w:r>
        <w:separator/>
      </w:r>
    </w:p>
  </w:footnote>
  <w:footnote w:type="continuationSeparator" w:id="0">
    <w:p w14:paraId="0A16C446" w14:textId="77777777" w:rsidR="003D5E13" w:rsidRDefault="003D5E13" w:rsidP="00F0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3D93" w14:textId="6ADB56C5" w:rsidR="00F0129D" w:rsidRPr="003811CA" w:rsidRDefault="00F0129D" w:rsidP="00F0129D">
    <w:pPr>
      <w:rPr>
        <w:rFonts w:ascii="Times New Roman" w:hAnsi="Times New Roman" w:cs="Times New Roman"/>
        <w:b/>
        <w:sz w:val="24"/>
        <w:szCs w:val="24"/>
        <w:u w:val="single"/>
      </w:rPr>
    </w:pPr>
    <w:bookmarkStart w:id="1" w:name="_Hlk507772755"/>
    <w:r>
      <w:rPr>
        <w:rFonts w:ascii="Times New Roman" w:hAnsi="Times New Roman" w:cs="Times New Roman"/>
        <w:b/>
        <w:sz w:val="24"/>
        <w:szCs w:val="24"/>
        <w:u w:val="single"/>
      </w:rPr>
      <w:t xml:space="preserve">Violence Against Women and Girls </w:t>
    </w:r>
    <w:r w:rsidRPr="003811CA">
      <w:rPr>
        <w:rFonts w:ascii="Times New Roman" w:hAnsi="Times New Roman" w:cs="Times New Roman"/>
        <w:b/>
        <w:sz w:val="24"/>
        <w:szCs w:val="24"/>
        <w:u w:val="single"/>
      </w:rPr>
      <w:t>Legislative and Policy Framework</w:t>
    </w:r>
  </w:p>
  <w:bookmarkEnd w:id="1"/>
  <w:p w14:paraId="0162254F" w14:textId="5E21499C" w:rsidR="00F0129D" w:rsidRDefault="00F0129D">
    <w:pPr>
      <w:pStyle w:val="Header"/>
    </w:pPr>
  </w:p>
  <w:p w14:paraId="2D19B9F9" w14:textId="77777777" w:rsidR="00F0129D" w:rsidRDefault="00F01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B4"/>
    <w:rsid w:val="000A36B4"/>
    <w:rsid w:val="00281AE0"/>
    <w:rsid w:val="003811CA"/>
    <w:rsid w:val="003D5E13"/>
    <w:rsid w:val="004611BE"/>
    <w:rsid w:val="005C198E"/>
    <w:rsid w:val="007D186E"/>
    <w:rsid w:val="008D315A"/>
    <w:rsid w:val="0096741F"/>
    <w:rsid w:val="00A70D7E"/>
    <w:rsid w:val="00E0368D"/>
    <w:rsid w:val="00EE28A4"/>
    <w:rsid w:val="00EF3E1A"/>
    <w:rsid w:val="00F01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961E"/>
  <w15:chartTrackingRefBased/>
  <w15:docId w15:val="{8B01C87A-1231-4449-ABAC-BFC7B2D6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6B4"/>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6B4"/>
    <w:rPr>
      <w:color w:val="0000FF"/>
      <w:u w:val="single"/>
    </w:rPr>
  </w:style>
  <w:style w:type="paragraph" w:customStyle="1" w:styleId="Default">
    <w:name w:val="Default"/>
    <w:rsid w:val="004611BE"/>
    <w:pPr>
      <w:autoSpaceDE w:val="0"/>
      <w:autoSpaceDN w:val="0"/>
      <w:adjustRightInd w:val="0"/>
      <w:spacing w:after="0" w:line="240" w:lineRule="auto"/>
    </w:pPr>
    <w:rPr>
      <w:rFonts w:ascii="Tahoma" w:eastAsia="Calibri" w:hAnsi="Tahoma" w:cs="Tahoma"/>
      <w:color w:val="000000"/>
      <w:sz w:val="24"/>
      <w:szCs w:val="24"/>
    </w:rPr>
  </w:style>
  <w:style w:type="character" w:styleId="UnresolvedMention">
    <w:name w:val="Unresolved Mention"/>
    <w:basedOn w:val="DefaultParagraphFont"/>
    <w:uiPriority w:val="99"/>
    <w:semiHidden/>
    <w:unhideWhenUsed/>
    <w:rsid w:val="003811CA"/>
    <w:rPr>
      <w:color w:val="808080"/>
      <w:shd w:val="clear" w:color="auto" w:fill="E6E6E6"/>
    </w:rPr>
  </w:style>
  <w:style w:type="paragraph" w:styleId="Header">
    <w:name w:val="header"/>
    <w:basedOn w:val="Normal"/>
    <w:link w:val="HeaderChar"/>
    <w:uiPriority w:val="99"/>
    <w:unhideWhenUsed/>
    <w:rsid w:val="00F01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29D"/>
    <w:rPr>
      <w:rFonts w:ascii="Calibri" w:eastAsia="Calibri" w:hAnsi="Calibri" w:cs="Calibri"/>
    </w:rPr>
  </w:style>
  <w:style w:type="paragraph" w:styleId="Footer">
    <w:name w:val="footer"/>
    <w:basedOn w:val="Normal"/>
    <w:link w:val="FooterChar"/>
    <w:uiPriority w:val="99"/>
    <w:unhideWhenUsed/>
    <w:rsid w:val="00F01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29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verhamptonsafeguarding.org.uk/images/adults-and-children-shared-docs/Wolverhampton_VAWG_Strategy_2016-2019.pdf" TargetMode="External"/><Relationship Id="rId3" Type="http://schemas.openxmlformats.org/officeDocument/2006/relationships/webSettings" Target="webSettings.xml"/><Relationship Id="rId7" Type="http://schemas.openxmlformats.org/officeDocument/2006/relationships/hyperlink" Target="https://www.gov.uk/government/publications/call-to-end-violence-against-women-and-gir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uploads/system/uploads/attachment_data/file/592101/Working_Together_to_Safeguard_Children_20170213.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egislation.gov.uk/ukpga/2014/23/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Cole-Evans</dc:creator>
  <cp:keywords/>
  <dc:description/>
  <cp:lastModifiedBy>Kathy Cole-Evans</cp:lastModifiedBy>
  <cp:revision>2</cp:revision>
  <dcterms:created xsi:type="dcterms:W3CDTF">2018-05-03T14:34:00Z</dcterms:created>
  <dcterms:modified xsi:type="dcterms:W3CDTF">2018-05-03T14:34:00Z</dcterms:modified>
</cp:coreProperties>
</file>